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847" w:rsidRDefault="007C6BB9" w:rsidP="007C6BB9">
      <w:pPr>
        <w:pStyle w:val="NoSpacing"/>
        <w:ind w:left="1440" w:hanging="1440"/>
      </w:pPr>
      <w:r>
        <w:rPr>
          <w:rFonts w:ascii="Times New Roman" w:hAnsi="Times New Roman" w:cs="Times New Roman"/>
          <w:sz w:val="28"/>
          <w:szCs w:val="28"/>
        </w:rPr>
        <w:t xml:space="preserve">  </w:t>
      </w:r>
    </w:p>
    <w:p w:rsidR="00BC22D7" w:rsidRDefault="005B7F88" w:rsidP="005B7F88">
      <w:pPr>
        <w:tabs>
          <w:tab w:val="left" w:pos="2520"/>
        </w:tabs>
        <w:spacing w:after="0"/>
        <w:jc w:val="center"/>
        <w:rPr>
          <w:b/>
          <w:sz w:val="32"/>
          <w:szCs w:val="32"/>
        </w:rPr>
      </w:pPr>
      <w:r>
        <w:rPr>
          <w:b/>
          <w:sz w:val="32"/>
          <w:szCs w:val="32"/>
        </w:rPr>
        <w:t>Evidence Location for CNEA Criteria</w:t>
      </w:r>
    </w:p>
    <w:p w:rsidR="005B7F88" w:rsidRPr="002E197C" w:rsidRDefault="005B7F88" w:rsidP="005B7F88">
      <w:pPr>
        <w:tabs>
          <w:tab w:val="left" w:pos="2520"/>
        </w:tabs>
        <w:spacing w:after="0"/>
        <w:jc w:val="center"/>
        <w:rPr>
          <w:b/>
          <w:sz w:val="32"/>
          <w:szCs w:val="32"/>
        </w:rPr>
      </w:pPr>
    </w:p>
    <w:tbl>
      <w:tblPr>
        <w:tblStyle w:val="TableGrid"/>
        <w:tblW w:w="13675" w:type="dxa"/>
        <w:tblLook w:val="04A0" w:firstRow="1" w:lastRow="0" w:firstColumn="1" w:lastColumn="0" w:noHBand="0" w:noVBand="1"/>
      </w:tblPr>
      <w:tblGrid>
        <w:gridCol w:w="4315"/>
        <w:gridCol w:w="4050"/>
        <w:gridCol w:w="5310"/>
      </w:tblGrid>
      <w:tr w:rsidR="00D078F9" w:rsidTr="005B7F88">
        <w:tc>
          <w:tcPr>
            <w:tcW w:w="4315" w:type="dxa"/>
            <w:shd w:val="clear" w:color="auto" w:fill="C6D9F1" w:themeFill="text2" w:themeFillTint="33"/>
          </w:tcPr>
          <w:p w:rsidR="00D078F9" w:rsidRPr="002E197C" w:rsidRDefault="00D078F9">
            <w:pPr>
              <w:rPr>
                <w:b/>
              </w:rPr>
            </w:pPr>
            <w:r w:rsidRPr="002E197C">
              <w:rPr>
                <w:b/>
              </w:rPr>
              <w:t>Standard and Quality Indicator</w:t>
            </w:r>
          </w:p>
        </w:tc>
        <w:tc>
          <w:tcPr>
            <w:tcW w:w="4050" w:type="dxa"/>
            <w:shd w:val="clear" w:color="auto" w:fill="C6D9F1" w:themeFill="text2" w:themeFillTint="33"/>
          </w:tcPr>
          <w:p w:rsidR="00D078F9" w:rsidRPr="002E197C" w:rsidRDefault="00D078F9" w:rsidP="00D078F9">
            <w:pPr>
              <w:jc w:val="center"/>
              <w:rPr>
                <w:b/>
              </w:rPr>
            </w:pPr>
            <w:r>
              <w:rPr>
                <w:b/>
              </w:rPr>
              <w:t>Appendix</w:t>
            </w:r>
          </w:p>
        </w:tc>
        <w:tc>
          <w:tcPr>
            <w:tcW w:w="5310" w:type="dxa"/>
            <w:shd w:val="clear" w:color="auto" w:fill="C6D9F1" w:themeFill="text2" w:themeFillTint="33"/>
          </w:tcPr>
          <w:p w:rsidR="00D078F9" w:rsidRPr="002E197C" w:rsidRDefault="00D078F9" w:rsidP="00D078F9">
            <w:pPr>
              <w:jc w:val="center"/>
              <w:rPr>
                <w:b/>
              </w:rPr>
            </w:pPr>
            <w:r>
              <w:rPr>
                <w:b/>
              </w:rPr>
              <w:t>USB</w:t>
            </w:r>
            <w:r w:rsidR="005B7F88">
              <w:rPr>
                <w:b/>
              </w:rPr>
              <w:t>/D2L/</w:t>
            </w:r>
            <w:proofErr w:type="spellStart"/>
            <w:r w:rsidR="005B7F88">
              <w:rPr>
                <w:b/>
              </w:rPr>
              <w:t>Sharepoint</w:t>
            </w:r>
            <w:proofErr w:type="spellEnd"/>
            <w:r w:rsidR="005B7F88">
              <w:rPr>
                <w:b/>
              </w:rPr>
              <w:t xml:space="preserve"> (</w:t>
            </w:r>
            <w:proofErr w:type="spellStart"/>
            <w:r w:rsidR="005B7F88">
              <w:rPr>
                <w:b/>
              </w:rPr>
              <w:t>what ever</w:t>
            </w:r>
            <w:proofErr w:type="spellEnd"/>
            <w:r w:rsidR="005B7F88">
              <w:rPr>
                <w:b/>
              </w:rPr>
              <w:t xml:space="preserve"> you are using)</w:t>
            </w:r>
          </w:p>
        </w:tc>
      </w:tr>
      <w:tr w:rsidR="005B7F88" w:rsidTr="005B7F88">
        <w:tc>
          <w:tcPr>
            <w:tcW w:w="13675" w:type="dxa"/>
            <w:gridSpan w:val="3"/>
            <w:shd w:val="clear" w:color="auto" w:fill="C6D9F1" w:themeFill="text2" w:themeFillTint="33"/>
          </w:tcPr>
          <w:p w:rsidR="005B7F88" w:rsidRDefault="005B7F88" w:rsidP="005B7F88">
            <w:pPr>
              <w:jc w:val="center"/>
              <w:rPr>
                <w:b/>
              </w:rPr>
            </w:pPr>
            <w:r w:rsidRPr="002E197C">
              <w:rPr>
                <w:b/>
              </w:rPr>
              <w:t>Standard I.  Culture of Excellence – Program Outcomes</w:t>
            </w:r>
          </w:p>
          <w:p w:rsidR="005B7F88" w:rsidRDefault="005B7F88" w:rsidP="005B7F88">
            <w:pPr>
              <w:jc w:val="center"/>
            </w:pPr>
          </w:p>
        </w:tc>
      </w:tr>
      <w:tr w:rsidR="00D078F9" w:rsidTr="005B7F88">
        <w:tc>
          <w:tcPr>
            <w:tcW w:w="4315" w:type="dxa"/>
          </w:tcPr>
          <w:p w:rsidR="00D078F9" w:rsidRDefault="00D078F9" w:rsidP="00265CA1">
            <w:r>
              <w:t>I – A.  Faculty and staff assess and evaluate achievement of identified program outcomes by engaging in an on-going, systematic, evidence based process.</w:t>
            </w:r>
          </w:p>
        </w:tc>
        <w:tc>
          <w:tcPr>
            <w:tcW w:w="4050" w:type="dxa"/>
          </w:tcPr>
          <w:p w:rsidR="00D078F9" w:rsidRPr="00D078F9" w:rsidRDefault="00D078F9" w:rsidP="00D078F9">
            <w:pPr>
              <w:pStyle w:val="NoSpacing"/>
              <w:rPr>
                <w:rFonts w:eastAsiaTheme="minorHAnsi"/>
              </w:rPr>
            </w:pPr>
          </w:p>
        </w:tc>
        <w:tc>
          <w:tcPr>
            <w:tcW w:w="5310" w:type="dxa"/>
          </w:tcPr>
          <w:p w:rsidR="00D078F9" w:rsidRDefault="00D078F9" w:rsidP="00D078F9"/>
        </w:tc>
      </w:tr>
      <w:tr w:rsidR="00D078F9" w:rsidTr="005B7F88">
        <w:tc>
          <w:tcPr>
            <w:tcW w:w="4315" w:type="dxa"/>
          </w:tcPr>
          <w:p w:rsidR="00D078F9" w:rsidRDefault="00D078F9">
            <w:r>
              <w:t>I – B.  Faculty and staff decisions regarding program effectiveness and continuous quality improvement efforts are informed through multiple means of collecting and analyzing data and are inclusive of input from communities of interest.</w:t>
            </w:r>
          </w:p>
        </w:tc>
        <w:tc>
          <w:tcPr>
            <w:tcW w:w="4050" w:type="dxa"/>
          </w:tcPr>
          <w:p w:rsidR="00D078F9" w:rsidRDefault="00D078F9" w:rsidP="00F97616">
            <w:pPr>
              <w:pStyle w:val="ListParagraph"/>
              <w:ind w:left="360"/>
            </w:pPr>
          </w:p>
        </w:tc>
        <w:tc>
          <w:tcPr>
            <w:tcW w:w="5310" w:type="dxa"/>
          </w:tcPr>
          <w:p w:rsidR="00F97616" w:rsidRDefault="00F97616" w:rsidP="00F97616"/>
        </w:tc>
      </w:tr>
      <w:tr w:rsidR="00D078F9" w:rsidTr="005B7F88">
        <w:tc>
          <w:tcPr>
            <w:tcW w:w="4315" w:type="dxa"/>
          </w:tcPr>
          <w:p w:rsidR="00D078F9" w:rsidRDefault="00D078F9">
            <w:r>
              <w:t>I – C.  The program achieves expected program outcomes related to program completion rates.</w:t>
            </w:r>
          </w:p>
        </w:tc>
        <w:tc>
          <w:tcPr>
            <w:tcW w:w="4050" w:type="dxa"/>
          </w:tcPr>
          <w:p w:rsidR="00D078F9" w:rsidRDefault="00D078F9" w:rsidP="00DC47CE">
            <w:pPr>
              <w:pStyle w:val="ListParagraph"/>
              <w:ind w:left="360"/>
            </w:pPr>
          </w:p>
        </w:tc>
        <w:tc>
          <w:tcPr>
            <w:tcW w:w="5310" w:type="dxa"/>
          </w:tcPr>
          <w:p w:rsidR="007F4B50" w:rsidRDefault="007F4B50" w:rsidP="007F4B50"/>
        </w:tc>
      </w:tr>
      <w:tr w:rsidR="00D078F9" w:rsidTr="005B7F88">
        <w:tc>
          <w:tcPr>
            <w:tcW w:w="4315" w:type="dxa"/>
          </w:tcPr>
          <w:p w:rsidR="00D078F9" w:rsidRDefault="00D078F9">
            <w:r>
              <w:t>I – D.  The program achieves expected program outcomes related to graduates performance on licensure and certification examinations.</w:t>
            </w:r>
          </w:p>
        </w:tc>
        <w:tc>
          <w:tcPr>
            <w:tcW w:w="4050" w:type="dxa"/>
          </w:tcPr>
          <w:p w:rsidR="00D078F9" w:rsidRDefault="00D078F9" w:rsidP="00DC47CE">
            <w:pPr>
              <w:pStyle w:val="ListParagraph"/>
              <w:ind w:left="360"/>
            </w:pPr>
          </w:p>
        </w:tc>
        <w:tc>
          <w:tcPr>
            <w:tcW w:w="5310" w:type="dxa"/>
          </w:tcPr>
          <w:p w:rsidR="00DC47CE" w:rsidRDefault="00DC47CE" w:rsidP="005D6883"/>
        </w:tc>
      </w:tr>
      <w:tr w:rsidR="00D078F9" w:rsidTr="005B7F88">
        <w:tc>
          <w:tcPr>
            <w:tcW w:w="4315" w:type="dxa"/>
          </w:tcPr>
          <w:p w:rsidR="00D078F9" w:rsidRDefault="00D078F9">
            <w:r>
              <w:t>I – E.  The program achieves expected program outcomes related to graduate employment rates in the area of nursing program preparation.</w:t>
            </w:r>
          </w:p>
        </w:tc>
        <w:tc>
          <w:tcPr>
            <w:tcW w:w="4050" w:type="dxa"/>
          </w:tcPr>
          <w:p w:rsidR="00D078F9" w:rsidRDefault="00D078F9" w:rsidP="005B7F88"/>
        </w:tc>
        <w:tc>
          <w:tcPr>
            <w:tcW w:w="5310" w:type="dxa"/>
          </w:tcPr>
          <w:p w:rsidR="00D078F9" w:rsidRDefault="00D078F9" w:rsidP="005D6883"/>
        </w:tc>
      </w:tr>
      <w:tr w:rsidR="00D078F9" w:rsidTr="005B7F88">
        <w:tc>
          <w:tcPr>
            <w:tcW w:w="4315" w:type="dxa"/>
          </w:tcPr>
          <w:p w:rsidR="00D078F9" w:rsidRDefault="00D078F9">
            <w:r>
              <w:t xml:space="preserve">I – F.  Faculty, students, alumni and </w:t>
            </w:r>
            <w:proofErr w:type="gramStart"/>
            <w:r>
              <w:t>employers</w:t>
            </w:r>
            <w:proofErr w:type="gramEnd"/>
            <w:r>
              <w:t xml:space="preserve"> express satisfaction with program effectiveness.</w:t>
            </w:r>
          </w:p>
          <w:p w:rsidR="005B7F88" w:rsidRDefault="005B7F88"/>
          <w:p w:rsidR="005B7F88" w:rsidRDefault="005B7F88"/>
          <w:p w:rsidR="005B7F88" w:rsidRDefault="005B7F88"/>
        </w:tc>
        <w:tc>
          <w:tcPr>
            <w:tcW w:w="4050" w:type="dxa"/>
          </w:tcPr>
          <w:p w:rsidR="00D078F9" w:rsidRDefault="00D078F9" w:rsidP="005B7F88"/>
        </w:tc>
        <w:tc>
          <w:tcPr>
            <w:tcW w:w="5310" w:type="dxa"/>
          </w:tcPr>
          <w:p w:rsidR="00D078F9" w:rsidRDefault="00D078F9" w:rsidP="00D2237F"/>
        </w:tc>
      </w:tr>
      <w:tr w:rsidR="005B7F88" w:rsidTr="00AF1801">
        <w:tc>
          <w:tcPr>
            <w:tcW w:w="13675" w:type="dxa"/>
            <w:gridSpan w:val="3"/>
            <w:shd w:val="clear" w:color="auto" w:fill="C6D9F1" w:themeFill="text2" w:themeFillTint="33"/>
          </w:tcPr>
          <w:p w:rsidR="005B7F88" w:rsidRDefault="005B7F88" w:rsidP="005B7F88">
            <w:pPr>
              <w:jc w:val="center"/>
              <w:rPr>
                <w:b/>
              </w:rPr>
            </w:pPr>
            <w:r w:rsidRPr="002E197C">
              <w:rPr>
                <w:b/>
              </w:rPr>
              <w:lastRenderedPageBreak/>
              <w:t>Standard II:  Culture of Integrity and Accountability – Mission, Governance, and Resources</w:t>
            </w:r>
          </w:p>
          <w:p w:rsidR="005B7F88" w:rsidRDefault="005B7F88" w:rsidP="005B7F88">
            <w:pPr>
              <w:jc w:val="center"/>
            </w:pPr>
          </w:p>
        </w:tc>
      </w:tr>
      <w:tr w:rsidR="00D078F9" w:rsidTr="005B7F88">
        <w:tc>
          <w:tcPr>
            <w:tcW w:w="4315" w:type="dxa"/>
          </w:tcPr>
          <w:p w:rsidR="00D078F9" w:rsidRDefault="00D078F9" w:rsidP="00BC22D7">
            <w:r>
              <w:t>II – A.  Faculty and staff define the core values, mission, and goals for the nursing program, ensuring they are aligned with institutional mission and goals; expected program outcomes are derived from the established mission and goals.</w:t>
            </w:r>
          </w:p>
        </w:tc>
        <w:tc>
          <w:tcPr>
            <w:tcW w:w="4050" w:type="dxa"/>
          </w:tcPr>
          <w:p w:rsidR="00D078F9" w:rsidRDefault="00D078F9" w:rsidP="005B7F88"/>
        </w:tc>
        <w:tc>
          <w:tcPr>
            <w:tcW w:w="5310" w:type="dxa"/>
          </w:tcPr>
          <w:p w:rsidR="00D078F9" w:rsidRDefault="00D078F9" w:rsidP="005B7F88"/>
        </w:tc>
      </w:tr>
      <w:tr w:rsidR="00D078F9" w:rsidTr="005B7F88">
        <w:tc>
          <w:tcPr>
            <w:tcW w:w="4315" w:type="dxa"/>
          </w:tcPr>
          <w:p w:rsidR="00D078F9" w:rsidRDefault="00D078F9" w:rsidP="00CC3CD9">
            <w:r>
              <w:t>II – B.  The organizational structure of the parent institution and the nursing program provide opportunities for faculty and students to demonstrate involvement in institutional and program governance, enabling achievement of expected program outcomes.</w:t>
            </w:r>
          </w:p>
        </w:tc>
        <w:tc>
          <w:tcPr>
            <w:tcW w:w="4050" w:type="dxa"/>
          </w:tcPr>
          <w:p w:rsidR="00D078F9" w:rsidRDefault="00D078F9" w:rsidP="005B7F88"/>
        </w:tc>
        <w:tc>
          <w:tcPr>
            <w:tcW w:w="5310" w:type="dxa"/>
          </w:tcPr>
          <w:p w:rsidR="00D078F9" w:rsidRDefault="00D078F9" w:rsidP="005B7F88"/>
        </w:tc>
      </w:tr>
      <w:tr w:rsidR="00D078F9" w:rsidTr="005B7F88">
        <w:tc>
          <w:tcPr>
            <w:tcW w:w="4315" w:type="dxa"/>
          </w:tcPr>
          <w:p w:rsidR="00D078F9" w:rsidRDefault="00D078F9" w:rsidP="00041EB0">
            <w:r>
              <w:t xml:space="preserve">I </w:t>
            </w:r>
            <w:r w:rsidR="005B7F88">
              <w:t>I</w:t>
            </w:r>
            <w:r>
              <w:t>– C.  Communities of interest provide feedback which is used to inform program decision-making about the educational preparation of students.</w:t>
            </w:r>
          </w:p>
        </w:tc>
        <w:tc>
          <w:tcPr>
            <w:tcW w:w="4050" w:type="dxa"/>
          </w:tcPr>
          <w:p w:rsidR="00D078F9" w:rsidRDefault="00D078F9" w:rsidP="005B7F88"/>
        </w:tc>
        <w:tc>
          <w:tcPr>
            <w:tcW w:w="5310" w:type="dxa"/>
          </w:tcPr>
          <w:p w:rsidR="00D078F9" w:rsidRDefault="00D078F9" w:rsidP="005B7F88"/>
        </w:tc>
      </w:tr>
      <w:tr w:rsidR="00D078F9" w:rsidTr="005B7F88">
        <w:tc>
          <w:tcPr>
            <w:tcW w:w="4315" w:type="dxa"/>
          </w:tcPr>
          <w:p w:rsidR="00D078F9" w:rsidRDefault="00D078F9" w:rsidP="00041EB0">
            <w:r>
              <w:t>II – D.  Program publications, documents, and policies are clear, current, accurately reflect program practices, and are accessible to communities of interest.</w:t>
            </w:r>
          </w:p>
        </w:tc>
        <w:tc>
          <w:tcPr>
            <w:tcW w:w="4050" w:type="dxa"/>
          </w:tcPr>
          <w:p w:rsidR="00D078F9" w:rsidRDefault="00D078F9" w:rsidP="005B7F88"/>
        </w:tc>
        <w:tc>
          <w:tcPr>
            <w:tcW w:w="5310" w:type="dxa"/>
          </w:tcPr>
          <w:p w:rsidR="00D078F9" w:rsidRDefault="00D078F9" w:rsidP="005B7F88"/>
        </w:tc>
      </w:tr>
      <w:tr w:rsidR="00D078F9" w:rsidTr="005B7F88">
        <w:tc>
          <w:tcPr>
            <w:tcW w:w="4315" w:type="dxa"/>
          </w:tcPr>
          <w:p w:rsidR="00D078F9" w:rsidRDefault="00D078F9" w:rsidP="00611A25">
            <w:r>
              <w:t>II – E.  The nursing unit is led by a chief academic nurse administrator who is educationally and experientially qualified for the role and administratively entrusted with the responsibility and authorization to provide the leadership needed to achieve the program’s expected outcomes.</w:t>
            </w:r>
          </w:p>
        </w:tc>
        <w:tc>
          <w:tcPr>
            <w:tcW w:w="4050" w:type="dxa"/>
          </w:tcPr>
          <w:p w:rsidR="00D078F9" w:rsidRDefault="00D078F9" w:rsidP="005B7F88"/>
        </w:tc>
        <w:tc>
          <w:tcPr>
            <w:tcW w:w="5310" w:type="dxa"/>
          </w:tcPr>
          <w:p w:rsidR="00D078F9" w:rsidRDefault="00D078F9" w:rsidP="005B7F88"/>
        </w:tc>
      </w:tr>
      <w:tr w:rsidR="00D078F9" w:rsidTr="005B7F88">
        <w:tc>
          <w:tcPr>
            <w:tcW w:w="4315" w:type="dxa"/>
          </w:tcPr>
          <w:p w:rsidR="00D078F9" w:rsidRDefault="00D078F9" w:rsidP="00611A25">
            <w:r>
              <w:t>II – F.  The nursing program has the necessary budgetary, human, instructional, physical, and technological resources to demonstrate achievement of the mission, goals, and expected program outcomes.</w:t>
            </w:r>
          </w:p>
        </w:tc>
        <w:tc>
          <w:tcPr>
            <w:tcW w:w="4050" w:type="dxa"/>
          </w:tcPr>
          <w:p w:rsidR="00D078F9" w:rsidRDefault="00D078F9" w:rsidP="005B7F88"/>
        </w:tc>
        <w:tc>
          <w:tcPr>
            <w:tcW w:w="5310" w:type="dxa"/>
          </w:tcPr>
          <w:p w:rsidR="00D078F9" w:rsidRDefault="00D078F9" w:rsidP="005B7F88"/>
        </w:tc>
      </w:tr>
      <w:tr w:rsidR="00D078F9" w:rsidTr="005B7F88">
        <w:tc>
          <w:tcPr>
            <w:tcW w:w="4315" w:type="dxa"/>
          </w:tcPr>
          <w:p w:rsidR="00D078F9" w:rsidRDefault="00D078F9" w:rsidP="00611A25">
            <w:r>
              <w:t xml:space="preserve">II – G.  Nursing program resources are periodically reviewed and allocated as needed to sustain an environment of continuous quality improvement that enables the program to meet expected program outcomes and expected student learning outcomes. </w:t>
            </w:r>
          </w:p>
        </w:tc>
        <w:tc>
          <w:tcPr>
            <w:tcW w:w="4050" w:type="dxa"/>
          </w:tcPr>
          <w:p w:rsidR="00D078F9" w:rsidRDefault="00D078F9" w:rsidP="005B7F88"/>
        </w:tc>
        <w:tc>
          <w:tcPr>
            <w:tcW w:w="5310" w:type="dxa"/>
          </w:tcPr>
          <w:p w:rsidR="00D078F9" w:rsidRDefault="00D078F9" w:rsidP="005B7F88"/>
        </w:tc>
      </w:tr>
      <w:tr w:rsidR="005B7F88" w:rsidTr="009215AD">
        <w:tc>
          <w:tcPr>
            <w:tcW w:w="13675" w:type="dxa"/>
            <w:gridSpan w:val="3"/>
            <w:shd w:val="clear" w:color="auto" w:fill="C6D9F1" w:themeFill="text2" w:themeFillTint="33"/>
          </w:tcPr>
          <w:p w:rsidR="005B7F88" w:rsidRDefault="005B7F88" w:rsidP="005B7F88">
            <w:pPr>
              <w:jc w:val="center"/>
              <w:rPr>
                <w:b/>
              </w:rPr>
            </w:pPr>
            <w:r w:rsidRPr="002E197C">
              <w:rPr>
                <w:b/>
              </w:rPr>
              <w:t>Standard III:  Culture of Excellence and Caring – Faculty</w:t>
            </w:r>
          </w:p>
          <w:p w:rsidR="005B7F88" w:rsidRDefault="005B7F88" w:rsidP="005B7F88">
            <w:pPr>
              <w:jc w:val="center"/>
            </w:pPr>
          </w:p>
        </w:tc>
      </w:tr>
      <w:tr w:rsidR="00D078F9" w:rsidTr="005B7F88">
        <w:tc>
          <w:tcPr>
            <w:tcW w:w="4315" w:type="dxa"/>
          </w:tcPr>
          <w:p w:rsidR="00D078F9" w:rsidRDefault="00D078F9" w:rsidP="00611A25">
            <w:r>
              <w:t>III – A.  The program’s faculty are qualified, diverse and adequate in number to meet program goals.</w:t>
            </w:r>
          </w:p>
        </w:tc>
        <w:tc>
          <w:tcPr>
            <w:tcW w:w="4050" w:type="dxa"/>
          </w:tcPr>
          <w:p w:rsidR="00D078F9" w:rsidRDefault="00D078F9" w:rsidP="005B7F88"/>
        </w:tc>
        <w:tc>
          <w:tcPr>
            <w:tcW w:w="5310" w:type="dxa"/>
          </w:tcPr>
          <w:p w:rsidR="00D078F9" w:rsidRDefault="00D078F9" w:rsidP="005B7F88"/>
        </w:tc>
      </w:tr>
      <w:tr w:rsidR="00D078F9" w:rsidTr="005B7F88">
        <w:tc>
          <w:tcPr>
            <w:tcW w:w="4315" w:type="dxa"/>
          </w:tcPr>
          <w:p w:rsidR="00D078F9" w:rsidRDefault="00D078F9" w:rsidP="00611A25">
            <w:r>
              <w:t>III – B.  Preceptors are qualified and prepared for their assigned role and responsibilities in facilitating student learning.</w:t>
            </w:r>
          </w:p>
        </w:tc>
        <w:tc>
          <w:tcPr>
            <w:tcW w:w="4050" w:type="dxa"/>
          </w:tcPr>
          <w:p w:rsidR="00D078F9" w:rsidRPr="00C975CD" w:rsidRDefault="00D078F9" w:rsidP="005B7F88">
            <w:pPr>
              <w:pStyle w:val="ListParagraph"/>
              <w:ind w:left="360"/>
              <w:rPr>
                <w:highlight w:val="yellow"/>
              </w:rPr>
            </w:pPr>
          </w:p>
        </w:tc>
        <w:tc>
          <w:tcPr>
            <w:tcW w:w="5310" w:type="dxa"/>
          </w:tcPr>
          <w:p w:rsidR="00D078F9" w:rsidRDefault="00D078F9" w:rsidP="005B7F88">
            <w:pPr>
              <w:rPr>
                <w:highlight w:val="yellow"/>
              </w:rPr>
            </w:pPr>
          </w:p>
        </w:tc>
      </w:tr>
      <w:tr w:rsidR="00D078F9" w:rsidTr="005B7F88">
        <w:tc>
          <w:tcPr>
            <w:tcW w:w="4315" w:type="dxa"/>
          </w:tcPr>
          <w:p w:rsidR="00D078F9" w:rsidRDefault="00D078F9" w:rsidP="00611A25">
            <w:r>
              <w:t>III – C.  Faculty are supported in providing unique and innovative contributions to the faculty role as defined by the missions of the parent institution and nursing program.</w:t>
            </w:r>
          </w:p>
        </w:tc>
        <w:tc>
          <w:tcPr>
            <w:tcW w:w="4050" w:type="dxa"/>
          </w:tcPr>
          <w:p w:rsidR="00D078F9" w:rsidRDefault="00D078F9" w:rsidP="005B7F88"/>
        </w:tc>
        <w:tc>
          <w:tcPr>
            <w:tcW w:w="5310" w:type="dxa"/>
          </w:tcPr>
          <w:p w:rsidR="00D078F9" w:rsidRDefault="00D078F9" w:rsidP="005B7F88"/>
        </w:tc>
      </w:tr>
      <w:tr w:rsidR="00D078F9" w:rsidTr="005B7F88">
        <w:tc>
          <w:tcPr>
            <w:tcW w:w="4315" w:type="dxa"/>
          </w:tcPr>
          <w:p w:rsidR="00D078F9" w:rsidRDefault="00D078F9" w:rsidP="00611A25">
            <w:r>
              <w:t>III – D.  Faculty demonstrate individual and collective achievement of the program’s expected faculty outcomes.</w:t>
            </w:r>
          </w:p>
        </w:tc>
        <w:tc>
          <w:tcPr>
            <w:tcW w:w="4050" w:type="dxa"/>
          </w:tcPr>
          <w:p w:rsidR="00D078F9" w:rsidRDefault="00D078F9" w:rsidP="005B7F88"/>
        </w:tc>
        <w:tc>
          <w:tcPr>
            <w:tcW w:w="5310" w:type="dxa"/>
          </w:tcPr>
          <w:p w:rsidR="00D078F9" w:rsidRDefault="00D078F9" w:rsidP="005B7F88"/>
        </w:tc>
      </w:tr>
      <w:tr w:rsidR="005B7F88" w:rsidTr="001F2980">
        <w:tc>
          <w:tcPr>
            <w:tcW w:w="13675" w:type="dxa"/>
            <w:gridSpan w:val="3"/>
            <w:shd w:val="clear" w:color="auto" w:fill="C6D9F1" w:themeFill="text2" w:themeFillTint="33"/>
          </w:tcPr>
          <w:p w:rsidR="005B7F88" w:rsidRDefault="005B7F88" w:rsidP="005B7F88">
            <w:pPr>
              <w:jc w:val="center"/>
              <w:rPr>
                <w:b/>
              </w:rPr>
            </w:pPr>
            <w:r w:rsidRPr="002E197C">
              <w:rPr>
                <w:b/>
              </w:rPr>
              <w:t>Standard IV:  Culture of Excellence and Caring – Students</w:t>
            </w:r>
          </w:p>
          <w:p w:rsidR="005B7F88" w:rsidRDefault="005B7F88" w:rsidP="005B7F88">
            <w:pPr>
              <w:jc w:val="center"/>
            </w:pPr>
          </w:p>
        </w:tc>
      </w:tr>
      <w:tr w:rsidR="00D078F9" w:rsidTr="005B7F88">
        <w:tc>
          <w:tcPr>
            <w:tcW w:w="4315" w:type="dxa"/>
          </w:tcPr>
          <w:p w:rsidR="00D078F9" w:rsidRDefault="00D078F9" w:rsidP="00611A25">
            <w:r>
              <w:t>IV – A.  The institution and program provide student services that are student-centered; culturally responsive; and readily accessible to all students, including those enrolled in distance education; and, guide students through the processes associated with admission, recruitment, retention progression, graduation and career planning.  Student services are evaluated for effectiveness and ability to satisfactorily meet student needs through a process of continuous quality improvement.</w:t>
            </w:r>
          </w:p>
        </w:tc>
        <w:tc>
          <w:tcPr>
            <w:tcW w:w="4050" w:type="dxa"/>
          </w:tcPr>
          <w:p w:rsidR="00D078F9" w:rsidRDefault="00D078F9" w:rsidP="005B7F88"/>
        </w:tc>
        <w:tc>
          <w:tcPr>
            <w:tcW w:w="5310" w:type="dxa"/>
          </w:tcPr>
          <w:p w:rsidR="00D078F9" w:rsidRDefault="00D078F9" w:rsidP="005B7F88"/>
        </w:tc>
      </w:tr>
      <w:tr w:rsidR="00D078F9" w:rsidTr="005B7F88">
        <w:tc>
          <w:tcPr>
            <w:tcW w:w="4315" w:type="dxa"/>
          </w:tcPr>
          <w:p w:rsidR="00D078F9" w:rsidRDefault="00D078F9" w:rsidP="00611A25">
            <w:r>
              <w:t>IV – B.  The program’s student policies conform with institutional student policies and are readily available to the public.</w:t>
            </w:r>
          </w:p>
        </w:tc>
        <w:tc>
          <w:tcPr>
            <w:tcW w:w="4050" w:type="dxa"/>
          </w:tcPr>
          <w:p w:rsidR="00D078F9" w:rsidRDefault="00D078F9" w:rsidP="005B7F88"/>
        </w:tc>
        <w:tc>
          <w:tcPr>
            <w:tcW w:w="5310" w:type="dxa"/>
          </w:tcPr>
          <w:p w:rsidR="00D078F9" w:rsidRDefault="00D078F9" w:rsidP="005B7F88"/>
        </w:tc>
      </w:tr>
      <w:tr w:rsidR="00D078F9" w:rsidTr="005B7F88">
        <w:tc>
          <w:tcPr>
            <w:tcW w:w="4315" w:type="dxa"/>
          </w:tcPr>
          <w:p w:rsidR="00D078F9" w:rsidRDefault="00D078F9" w:rsidP="00611A25">
            <w:r>
              <w:t>IV – C.  Student policies are clearly delineated and accessible with students advised of changes with adequate notice.</w:t>
            </w:r>
          </w:p>
        </w:tc>
        <w:tc>
          <w:tcPr>
            <w:tcW w:w="4050" w:type="dxa"/>
          </w:tcPr>
          <w:p w:rsidR="00D078F9" w:rsidRDefault="00D078F9" w:rsidP="005B7F88"/>
        </w:tc>
        <w:tc>
          <w:tcPr>
            <w:tcW w:w="5310" w:type="dxa"/>
          </w:tcPr>
          <w:p w:rsidR="00D078F9" w:rsidRDefault="00D078F9" w:rsidP="005B7F88"/>
        </w:tc>
      </w:tr>
      <w:tr w:rsidR="00D078F9" w:rsidTr="005B7F88">
        <w:tc>
          <w:tcPr>
            <w:tcW w:w="4315" w:type="dxa"/>
          </w:tcPr>
          <w:p w:rsidR="00D078F9" w:rsidRDefault="00D078F9" w:rsidP="00611A25">
            <w:r>
              <w:t>IV – D.  Faculty and staff process the formal program complaints of students using policies and procedures that are clearly delineated.</w:t>
            </w:r>
          </w:p>
        </w:tc>
        <w:tc>
          <w:tcPr>
            <w:tcW w:w="4050" w:type="dxa"/>
          </w:tcPr>
          <w:p w:rsidR="00D078F9" w:rsidRDefault="00D078F9" w:rsidP="005B7F88"/>
        </w:tc>
        <w:tc>
          <w:tcPr>
            <w:tcW w:w="5310" w:type="dxa"/>
          </w:tcPr>
          <w:p w:rsidR="00D078F9" w:rsidRDefault="00D078F9" w:rsidP="005B7F88"/>
        </w:tc>
      </w:tr>
      <w:tr w:rsidR="00D078F9" w:rsidTr="005B7F88">
        <w:tc>
          <w:tcPr>
            <w:tcW w:w="4315" w:type="dxa"/>
          </w:tcPr>
          <w:p w:rsidR="00D078F9" w:rsidRDefault="00D078F9" w:rsidP="00611A25">
            <w:r>
              <w:t>IV – E.  Student records are maintained in a secure, confidential manner in accordance with the policies of the parent institution, nursing program, and regulatory guidelines.</w:t>
            </w:r>
          </w:p>
        </w:tc>
        <w:tc>
          <w:tcPr>
            <w:tcW w:w="4050" w:type="dxa"/>
          </w:tcPr>
          <w:p w:rsidR="00D078F9" w:rsidRDefault="00D078F9" w:rsidP="005B7F88">
            <w:pPr>
              <w:pStyle w:val="ListParagraph"/>
            </w:pPr>
          </w:p>
        </w:tc>
        <w:tc>
          <w:tcPr>
            <w:tcW w:w="5310" w:type="dxa"/>
          </w:tcPr>
          <w:p w:rsidR="00D078F9" w:rsidRDefault="00D078F9" w:rsidP="005B7F88"/>
        </w:tc>
      </w:tr>
      <w:tr w:rsidR="005B7F88" w:rsidTr="00F032DC">
        <w:tc>
          <w:tcPr>
            <w:tcW w:w="13675" w:type="dxa"/>
            <w:gridSpan w:val="3"/>
            <w:shd w:val="clear" w:color="auto" w:fill="C6D9F1" w:themeFill="text2" w:themeFillTint="33"/>
          </w:tcPr>
          <w:p w:rsidR="005B7F88" w:rsidRDefault="005B7F88" w:rsidP="005B7F88">
            <w:pPr>
              <w:jc w:val="center"/>
              <w:rPr>
                <w:b/>
              </w:rPr>
            </w:pPr>
            <w:r w:rsidRPr="002E197C">
              <w:rPr>
                <w:b/>
              </w:rPr>
              <w:t>Standard V:  Culture of Learning and Diversity – Curriculum and Evaluation Processes</w:t>
            </w:r>
          </w:p>
          <w:p w:rsidR="005B7F88" w:rsidRDefault="005B7F88" w:rsidP="005B7F88">
            <w:pPr>
              <w:jc w:val="center"/>
            </w:pPr>
          </w:p>
        </w:tc>
      </w:tr>
      <w:tr w:rsidR="00D078F9" w:rsidTr="005B7F88">
        <w:tc>
          <w:tcPr>
            <w:tcW w:w="4315" w:type="dxa"/>
          </w:tcPr>
          <w:p w:rsidR="00D078F9" w:rsidRDefault="00D078F9" w:rsidP="00611A25">
            <w:r>
              <w:t xml:space="preserve">V – A.  The curriculum is designed to foster achievement of clearly delineated student learning outcomes that are specific to the program mission and type (i.e., practical/vocational, diploma, associate, bachelor’s, master’s, post-master’s, and clinical doctorate) and aligned with expected curricular program outcomes.  </w:t>
            </w:r>
          </w:p>
        </w:tc>
        <w:tc>
          <w:tcPr>
            <w:tcW w:w="4050" w:type="dxa"/>
          </w:tcPr>
          <w:p w:rsidR="00D078F9" w:rsidRDefault="00D078F9" w:rsidP="005B7F88"/>
        </w:tc>
        <w:tc>
          <w:tcPr>
            <w:tcW w:w="5310" w:type="dxa"/>
          </w:tcPr>
          <w:p w:rsidR="00D078F9" w:rsidRDefault="00D078F9" w:rsidP="005B7F88"/>
        </w:tc>
      </w:tr>
      <w:tr w:rsidR="00D078F9" w:rsidTr="005B7F88">
        <w:tc>
          <w:tcPr>
            <w:tcW w:w="4315" w:type="dxa"/>
          </w:tcPr>
          <w:p w:rsidR="00D078F9" w:rsidRDefault="00D078F9" w:rsidP="008B261A">
            <w:r>
              <w:t>V – B.  The curriculum incorporates professional nursing standards and other professional.  The curriculum incorporates professional nursing standards and other professional standards and guidelines, associated with PN/VN and RN licensure, APRN certification and/or other graduate level practice competencies aligned with practical/vocational, diploma, associate, bachelor’s, master’s, post-master’s certificate, and clinical doctorate types.</w:t>
            </w:r>
          </w:p>
        </w:tc>
        <w:tc>
          <w:tcPr>
            <w:tcW w:w="4050" w:type="dxa"/>
          </w:tcPr>
          <w:p w:rsidR="00D078F9" w:rsidRDefault="00D078F9" w:rsidP="005B7F88"/>
        </w:tc>
        <w:tc>
          <w:tcPr>
            <w:tcW w:w="5310" w:type="dxa"/>
          </w:tcPr>
          <w:p w:rsidR="00D078F9" w:rsidRDefault="00D078F9" w:rsidP="005B7F88"/>
        </w:tc>
      </w:tr>
      <w:tr w:rsidR="00D078F9" w:rsidTr="005B7F88">
        <w:tc>
          <w:tcPr>
            <w:tcW w:w="4315" w:type="dxa"/>
          </w:tcPr>
          <w:p w:rsidR="00D078F9" w:rsidRDefault="00D078F9" w:rsidP="008B261A">
            <w:r>
              <w:t>V – C.  The program’s curriculum is sequenced, designed and implemented to progressively support student achievement of learning outcomes and the acquisition of competencies appropriate for the intended practice role.</w:t>
            </w:r>
          </w:p>
        </w:tc>
        <w:tc>
          <w:tcPr>
            <w:tcW w:w="4050" w:type="dxa"/>
          </w:tcPr>
          <w:p w:rsidR="00D078F9" w:rsidRDefault="00D078F9" w:rsidP="005B7F88">
            <w:pPr>
              <w:pStyle w:val="ListParagraph"/>
              <w:numPr>
                <w:ilvl w:val="0"/>
                <w:numId w:val="6"/>
              </w:numPr>
            </w:pPr>
          </w:p>
        </w:tc>
        <w:tc>
          <w:tcPr>
            <w:tcW w:w="5310" w:type="dxa"/>
          </w:tcPr>
          <w:p w:rsidR="00D078F9" w:rsidRDefault="00D078F9" w:rsidP="005B7F88">
            <w:pPr>
              <w:pStyle w:val="ListParagraph"/>
              <w:numPr>
                <w:ilvl w:val="0"/>
                <w:numId w:val="6"/>
              </w:numPr>
            </w:pPr>
          </w:p>
        </w:tc>
      </w:tr>
      <w:tr w:rsidR="00D078F9" w:rsidTr="005B7F88">
        <w:tc>
          <w:tcPr>
            <w:tcW w:w="4315" w:type="dxa"/>
          </w:tcPr>
          <w:p w:rsidR="00D078F9" w:rsidRDefault="00D078F9" w:rsidP="008B261A">
            <w:r>
              <w:t>V – D.  The curriculum is up-to-date, dynamic, evidence-based, and reflects current societal and health care trends and issues, research findings, and contemporary educational practice.</w:t>
            </w:r>
          </w:p>
        </w:tc>
        <w:tc>
          <w:tcPr>
            <w:tcW w:w="4050" w:type="dxa"/>
          </w:tcPr>
          <w:p w:rsidR="00D078F9" w:rsidRDefault="00D078F9" w:rsidP="005B7F88">
            <w:pPr>
              <w:pStyle w:val="ListParagraph"/>
              <w:numPr>
                <w:ilvl w:val="0"/>
                <w:numId w:val="6"/>
              </w:numPr>
            </w:pPr>
          </w:p>
        </w:tc>
        <w:tc>
          <w:tcPr>
            <w:tcW w:w="5310" w:type="dxa"/>
          </w:tcPr>
          <w:p w:rsidR="00D078F9" w:rsidRDefault="00D078F9" w:rsidP="005B7F88">
            <w:pPr>
              <w:pStyle w:val="ListParagraph"/>
              <w:numPr>
                <w:ilvl w:val="0"/>
                <w:numId w:val="6"/>
              </w:numPr>
            </w:pPr>
          </w:p>
        </w:tc>
      </w:tr>
      <w:tr w:rsidR="00D078F9" w:rsidTr="005B7F88">
        <w:tc>
          <w:tcPr>
            <w:tcW w:w="4315" w:type="dxa"/>
          </w:tcPr>
          <w:p w:rsidR="00D078F9" w:rsidRDefault="00D078F9" w:rsidP="00C52EF0">
            <w:r>
              <w:t>V – E.  The curriculum provides student with experiential learning that supports evidence-based practice, student achievement of clinical competence, and as appropriate to the program’s mission and expected curricular outcomes, expertise in a specific role or specialty.</w:t>
            </w:r>
          </w:p>
        </w:tc>
        <w:tc>
          <w:tcPr>
            <w:tcW w:w="4050" w:type="dxa"/>
          </w:tcPr>
          <w:p w:rsidR="00D078F9" w:rsidRDefault="00D078F9" w:rsidP="005B7F88">
            <w:pPr>
              <w:pStyle w:val="ListParagraph"/>
              <w:numPr>
                <w:ilvl w:val="0"/>
                <w:numId w:val="6"/>
              </w:numPr>
            </w:pPr>
          </w:p>
        </w:tc>
        <w:tc>
          <w:tcPr>
            <w:tcW w:w="5310" w:type="dxa"/>
          </w:tcPr>
          <w:p w:rsidR="00D078F9" w:rsidRDefault="00D078F9" w:rsidP="005B7F88">
            <w:pPr>
              <w:pStyle w:val="ListParagraph"/>
              <w:numPr>
                <w:ilvl w:val="0"/>
                <w:numId w:val="6"/>
              </w:numPr>
            </w:pPr>
          </w:p>
        </w:tc>
      </w:tr>
      <w:tr w:rsidR="00D078F9" w:rsidTr="005B7F88">
        <w:tc>
          <w:tcPr>
            <w:tcW w:w="4315" w:type="dxa"/>
          </w:tcPr>
          <w:p w:rsidR="00D078F9" w:rsidRDefault="00D078F9" w:rsidP="008B261A">
            <w:r>
              <w:t>V – F.  The curriculum provides experiential learning that enhances student ability to demonstrate leadership, clinical reasoning, reflect thoughtfully, provide culturally responsive care to diverse populations, and integrate concepts, including, but not limited to context and environment of care delivery, knowledge and science, personal and professional development, quality and safety, patient-centered care, and teamwork into their practice.</w:t>
            </w:r>
          </w:p>
        </w:tc>
        <w:tc>
          <w:tcPr>
            <w:tcW w:w="4050" w:type="dxa"/>
          </w:tcPr>
          <w:p w:rsidR="00D078F9" w:rsidRDefault="00D078F9" w:rsidP="005B7F88">
            <w:pPr>
              <w:pStyle w:val="ListParagraph"/>
              <w:numPr>
                <w:ilvl w:val="0"/>
                <w:numId w:val="6"/>
              </w:numPr>
            </w:pPr>
          </w:p>
        </w:tc>
        <w:tc>
          <w:tcPr>
            <w:tcW w:w="5310" w:type="dxa"/>
          </w:tcPr>
          <w:p w:rsidR="00D078F9" w:rsidRDefault="00D078F9" w:rsidP="005B7F88">
            <w:pPr>
              <w:pStyle w:val="ListParagraph"/>
              <w:numPr>
                <w:ilvl w:val="0"/>
                <w:numId w:val="6"/>
              </w:numPr>
            </w:pPr>
          </w:p>
        </w:tc>
      </w:tr>
      <w:tr w:rsidR="00D078F9" w:rsidTr="005B7F88">
        <w:tc>
          <w:tcPr>
            <w:tcW w:w="4315" w:type="dxa"/>
          </w:tcPr>
          <w:p w:rsidR="00D078F9" w:rsidRDefault="00D078F9" w:rsidP="008B261A">
            <w:r>
              <w:t>V – G.  The faculty use a variety of teaching, learning, and evaluation strategies within the curriculum, including distance education programs, that are evidence-based, student-centered, and designed to create a culture of learning as demonstrated by student achievement of expected course and curricular program outcomes appropriate for the program type (i.e., practical/vocation. Diploma, associate, bachelor’s master’s, post-master’s certificate, and clinical doctorate).</w:t>
            </w:r>
          </w:p>
        </w:tc>
        <w:tc>
          <w:tcPr>
            <w:tcW w:w="4050" w:type="dxa"/>
          </w:tcPr>
          <w:p w:rsidR="00D078F9" w:rsidRDefault="00D078F9" w:rsidP="005B7F88"/>
        </w:tc>
        <w:tc>
          <w:tcPr>
            <w:tcW w:w="5310" w:type="dxa"/>
          </w:tcPr>
          <w:p w:rsidR="00D078F9" w:rsidRDefault="00D078F9" w:rsidP="005B7F88"/>
        </w:tc>
      </w:tr>
      <w:tr w:rsidR="00D078F9" w:rsidTr="005B7F88">
        <w:tc>
          <w:tcPr>
            <w:tcW w:w="4315" w:type="dxa"/>
          </w:tcPr>
          <w:p w:rsidR="00D078F9" w:rsidRDefault="00D078F9" w:rsidP="008B261A">
            <w:r>
              <w:t>V – H.  The faculty design and implement evaluation strategies to measure individual student achievement, ensuring the evaluation strategies are explicitly communicated in course materials and program policies and related to expected course and curricular program outcomes.</w:t>
            </w:r>
          </w:p>
        </w:tc>
        <w:tc>
          <w:tcPr>
            <w:tcW w:w="4050" w:type="dxa"/>
          </w:tcPr>
          <w:p w:rsidR="00D078F9" w:rsidRDefault="00D078F9" w:rsidP="005B7F88"/>
        </w:tc>
        <w:tc>
          <w:tcPr>
            <w:tcW w:w="5310" w:type="dxa"/>
          </w:tcPr>
          <w:p w:rsidR="00D078F9" w:rsidRDefault="00D078F9" w:rsidP="005B7F88"/>
        </w:tc>
      </w:tr>
      <w:tr w:rsidR="00D078F9" w:rsidTr="005B7F88">
        <w:tc>
          <w:tcPr>
            <w:tcW w:w="4315" w:type="dxa"/>
          </w:tcPr>
          <w:p w:rsidR="00D078F9" w:rsidRDefault="00D078F9" w:rsidP="008B261A">
            <w:r>
              <w:t>V – I.  Technology, including the use of distance education technology as applicable, is used effectively to support the teaching, learning, and evaluation process.</w:t>
            </w:r>
          </w:p>
        </w:tc>
        <w:tc>
          <w:tcPr>
            <w:tcW w:w="4050" w:type="dxa"/>
          </w:tcPr>
          <w:p w:rsidR="00D078F9" w:rsidRDefault="00D078F9" w:rsidP="005B7F88"/>
        </w:tc>
        <w:tc>
          <w:tcPr>
            <w:tcW w:w="5310" w:type="dxa"/>
          </w:tcPr>
          <w:p w:rsidR="00D078F9" w:rsidRDefault="00D078F9" w:rsidP="005B7F88"/>
        </w:tc>
      </w:tr>
      <w:tr w:rsidR="00D078F9" w:rsidTr="005B7F88">
        <w:tc>
          <w:tcPr>
            <w:tcW w:w="4315" w:type="dxa"/>
          </w:tcPr>
          <w:p w:rsidR="00D078F9" w:rsidRDefault="00D078F9" w:rsidP="008B261A">
            <w:r>
              <w:t>V – J.  There is systematic and ongoing review and evidence-based revision of the curriculum and teaching, learning, and evaluation strategies by faculty within a culture of continuous quality improvement to foster achievement of the program’s expected student outcomes.</w:t>
            </w:r>
          </w:p>
        </w:tc>
        <w:tc>
          <w:tcPr>
            <w:tcW w:w="4050" w:type="dxa"/>
          </w:tcPr>
          <w:p w:rsidR="00D078F9" w:rsidRDefault="00D078F9" w:rsidP="005B7F88"/>
        </w:tc>
        <w:tc>
          <w:tcPr>
            <w:tcW w:w="5310" w:type="dxa"/>
          </w:tcPr>
          <w:p w:rsidR="00D078F9" w:rsidRDefault="00D078F9" w:rsidP="005B7F88"/>
        </w:tc>
      </w:tr>
    </w:tbl>
    <w:p w:rsidR="006A747D" w:rsidRDefault="005B7F88">
      <w:r>
        <w:t>2017</w:t>
      </w:r>
      <w:bookmarkStart w:id="0" w:name="_GoBack"/>
      <w:bookmarkEnd w:id="0"/>
    </w:p>
    <w:p w:rsidR="00441369" w:rsidRDefault="00441369"/>
    <w:sectPr w:rsidR="00441369" w:rsidSect="00BC22D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23B15"/>
    <w:multiLevelType w:val="hybridMultilevel"/>
    <w:tmpl w:val="1E84F712"/>
    <w:lvl w:ilvl="0" w:tplc="E73ED606">
      <w:start w:val="1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E70427"/>
    <w:multiLevelType w:val="hybridMultilevel"/>
    <w:tmpl w:val="B42ED5C4"/>
    <w:lvl w:ilvl="0" w:tplc="6AC43780">
      <w:start w:val="1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2556F0C"/>
    <w:multiLevelType w:val="hybridMultilevel"/>
    <w:tmpl w:val="3C98E1E4"/>
    <w:lvl w:ilvl="0" w:tplc="C1C06D08">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F631814"/>
    <w:multiLevelType w:val="hybridMultilevel"/>
    <w:tmpl w:val="FD5A2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93236B"/>
    <w:multiLevelType w:val="hybridMultilevel"/>
    <w:tmpl w:val="FEBC2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86270F"/>
    <w:multiLevelType w:val="hybridMultilevel"/>
    <w:tmpl w:val="467E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8F1"/>
    <w:rsid w:val="000864F5"/>
    <w:rsid w:val="000905CC"/>
    <w:rsid w:val="000B5737"/>
    <w:rsid w:val="00265CA1"/>
    <w:rsid w:val="00267B39"/>
    <w:rsid w:val="002A18E1"/>
    <w:rsid w:val="002B32E5"/>
    <w:rsid w:val="002E197C"/>
    <w:rsid w:val="00393FCA"/>
    <w:rsid w:val="003A2D7B"/>
    <w:rsid w:val="00441369"/>
    <w:rsid w:val="00467364"/>
    <w:rsid w:val="00467EC6"/>
    <w:rsid w:val="004823B5"/>
    <w:rsid w:val="004F1A53"/>
    <w:rsid w:val="00524E73"/>
    <w:rsid w:val="005377CC"/>
    <w:rsid w:val="005A5A36"/>
    <w:rsid w:val="005B7F88"/>
    <w:rsid w:val="005D6883"/>
    <w:rsid w:val="00611A25"/>
    <w:rsid w:val="00617A61"/>
    <w:rsid w:val="006A747D"/>
    <w:rsid w:val="007C6BB9"/>
    <w:rsid w:val="007E15F7"/>
    <w:rsid w:val="007F4B50"/>
    <w:rsid w:val="008402D6"/>
    <w:rsid w:val="008B261A"/>
    <w:rsid w:val="008C4181"/>
    <w:rsid w:val="00972BB1"/>
    <w:rsid w:val="00A572AA"/>
    <w:rsid w:val="00A72847"/>
    <w:rsid w:val="00A92810"/>
    <w:rsid w:val="00AD68F1"/>
    <w:rsid w:val="00AE121D"/>
    <w:rsid w:val="00B02E10"/>
    <w:rsid w:val="00B636B3"/>
    <w:rsid w:val="00B918E3"/>
    <w:rsid w:val="00BC22D7"/>
    <w:rsid w:val="00BD3D1B"/>
    <w:rsid w:val="00C52EF0"/>
    <w:rsid w:val="00C73751"/>
    <w:rsid w:val="00C975CD"/>
    <w:rsid w:val="00CB1CA3"/>
    <w:rsid w:val="00CC3CD9"/>
    <w:rsid w:val="00CF0BEF"/>
    <w:rsid w:val="00D078F9"/>
    <w:rsid w:val="00D2237F"/>
    <w:rsid w:val="00D726D0"/>
    <w:rsid w:val="00DB00B2"/>
    <w:rsid w:val="00DC47CE"/>
    <w:rsid w:val="00E01A9E"/>
    <w:rsid w:val="00E577DB"/>
    <w:rsid w:val="00E613BA"/>
    <w:rsid w:val="00F11F0E"/>
    <w:rsid w:val="00F1309B"/>
    <w:rsid w:val="00F239ED"/>
    <w:rsid w:val="00F73919"/>
    <w:rsid w:val="00F84F4D"/>
    <w:rsid w:val="00F95AA2"/>
    <w:rsid w:val="00F97616"/>
    <w:rsid w:val="00FE5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4013"/>
  <w15:docId w15:val="{D3B6567A-DB4A-40E7-92B8-26CC11141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1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747D"/>
    <w:pPr>
      <w:spacing w:after="0" w:line="240" w:lineRule="auto"/>
    </w:pPr>
    <w:rPr>
      <w:rFonts w:eastAsiaTheme="minorEastAsia"/>
    </w:rPr>
  </w:style>
  <w:style w:type="paragraph" w:styleId="BalloonText">
    <w:name w:val="Balloon Text"/>
    <w:basedOn w:val="Normal"/>
    <w:link w:val="BalloonTextChar"/>
    <w:uiPriority w:val="99"/>
    <w:semiHidden/>
    <w:unhideWhenUsed/>
    <w:rsid w:val="00611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A25"/>
    <w:rPr>
      <w:rFonts w:ascii="Segoe UI" w:hAnsi="Segoe UI" w:cs="Segoe UI"/>
      <w:sz w:val="18"/>
      <w:szCs w:val="18"/>
    </w:rPr>
  </w:style>
  <w:style w:type="paragraph" w:styleId="ListParagraph">
    <w:name w:val="List Paragraph"/>
    <w:basedOn w:val="Normal"/>
    <w:uiPriority w:val="34"/>
    <w:qFormat/>
    <w:rsid w:val="008B26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4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Frisch</dc:creator>
  <cp:lastModifiedBy>Sue Field</cp:lastModifiedBy>
  <cp:revision>2</cp:revision>
  <cp:lastPrinted>2016-07-14T17:53:00Z</cp:lastPrinted>
  <dcterms:created xsi:type="dcterms:W3CDTF">2017-11-02T20:24:00Z</dcterms:created>
  <dcterms:modified xsi:type="dcterms:W3CDTF">2017-11-02T20:24:00Z</dcterms:modified>
</cp:coreProperties>
</file>